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39" w:rsidRPr="00243B8F" w:rsidRDefault="00B27D15" w:rsidP="000E0A39">
      <w:pPr>
        <w:autoSpaceDE w:val="0"/>
        <w:autoSpaceDN w:val="0"/>
        <w:jc w:val="center"/>
        <w:rPr>
          <w:rFonts w:asciiTheme="minorHAnsi" w:hAnsiTheme="minorHAnsi"/>
          <w:sz w:val="18"/>
          <w:szCs w:val="17"/>
          <w:lang w:eastAsia="ru-RU"/>
        </w:rPr>
      </w:pPr>
      <w:r w:rsidRPr="00243B8F">
        <w:rPr>
          <w:rFonts w:asciiTheme="minorHAnsi" w:hAnsiTheme="minorHAnsi"/>
          <w:b/>
          <w:bCs/>
          <w:sz w:val="18"/>
          <w:szCs w:val="17"/>
        </w:rPr>
        <w:t>Сообщение о существенном факте о совершении эмитентом существенной сделки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243B8F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243B8F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 Общие сведения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243B8F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 xml:space="preserve">Публичное </w:t>
            </w:r>
            <w:r w:rsidR="000E0A39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243B8F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П</w:t>
            </w:r>
            <w:r w:rsidR="000E0A39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АО «</w:t>
            </w:r>
            <w:proofErr w:type="spellStart"/>
            <w:r w:rsidR="000E0A39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243B8F" w:rsidRDefault="00B82780" w:rsidP="004511E4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b/>
                <w:i/>
                <w:sz w:val="18"/>
                <w:szCs w:val="17"/>
              </w:rPr>
              <w:t xml:space="preserve">119049, г. Москва, Ленинский пр-т, д. 6, </w:t>
            </w:r>
            <w:r w:rsidR="004511E4">
              <w:rPr>
                <w:rFonts w:asciiTheme="minorHAnsi" w:hAnsiTheme="minorHAnsi"/>
                <w:b/>
                <w:i/>
                <w:sz w:val="18"/>
                <w:szCs w:val="17"/>
              </w:rPr>
              <w:t>стр</w:t>
            </w:r>
            <w:r w:rsidRPr="00243B8F">
              <w:rPr>
                <w:rFonts w:asciiTheme="minorHAnsi" w:hAnsiTheme="minorHAnsi"/>
                <w:b/>
                <w:i/>
                <w:sz w:val="18"/>
                <w:szCs w:val="17"/>
              </w:rPr>
              <w:t>. 7, пом. III, комн. 47, эт.3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243B8F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1127746391596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243B8F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7706774915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243B8F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15065-А</w:t>
            </w:r>
          </w:p>
        </w:tc>
      </w:tr>
      <w:tr w:rsidR="000E0A39" w:rsidRPr="00243B8F" w:rsidTr="0045285A">
        <w:trPr>
          <w:jc w:val="center"/>
        </w:trPr>
        <w:tc>
          <w:tcPr>
            <w:tcW w:w="4933" w:type="dxa"/>
          </w:tcPr>
          <w:p w:rsidR="000E0A39" w:rsidRPr="00243B8F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243B8F" w:rsidRDefault="00833B7B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hyperlink r:id="rId5" w:history="1">
              <w:r w:rsidR="000E0A39" w:rsidRPr="00243B8F">
                <w:rPr>
                  <w:rFonts w:asciiTheme="minorHAnsi" w:hAnsiTheme="minorHAnsi"/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243B8F" w:rsidRDefault="00833B7B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</w:pPr>
            <w:hyperlink r:id="rId6" w:history="1">
              <w:r w:rsidR="000E0A39" w:rsidRPr="00243B8F">
                <w:rPr>
                  <w:rFonts w:asciiTheme="minorHAnsi" w:hAnsiTheme="minorHAnsi"/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243B8F" w:rsidTr="0045285A">
        <w:trPr>
          <w:jc w:val="center"/>
        </w:trPr>
        <w:tc>
          <w:tcPr>
            <w:tcW w:w="4933" w:type="dxa"/>
          </w:tcPr>
          <w:p w:rsidR="00FF5393" w:rsidRPr="00243B8F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7"/>
                <w:lang w:eastAsia="ru-RU"/>
              </w:rPr>
            </w:pPr>
            <w:r w:rsidRPr="00243B8F">
              <w:rPr>
                <w:rFonts w:asciiTheme="minorHAnsi" w:hAnsiTheme="minorHAnsi"/>
                <w:sz w:val="18"/>
                <w:szCs w:val="17"/>
                <w:lang w:eastAsia="ru-RU"/>
              </w:rPr>
              <w:t>1.8.</w:t>
            </w:r>
            <w:r w:rsidRPr="00243B8F">
              <w:rPr>
                <w:rFonts w:asciiTheme="minorHAnsi" w:eastAsia="Times New Roman CYR" w:hAnsiTheme="minorHAnsi" w:cs="Times New Roman CYR"/>
                <w:color w:val="000000"/>
                <w:sz w:val="18"/>
                <w:szCs w:val="17"/>
                <w:lang w:eastAsia="ru-RU" w:bidi="ru-RU"/>
              </w:rPr>
              <w:t xml:space="preserve"> </w:t>
            </w:r>
            <w:r w:rsidRPr="00243B8F">
              <w:rPr>
                <w:rFonts w:asciiTheme="minorHAnsi" w:hAnsiTheme="minorHAnsi"/>
                <w:sz w:val="18"/>
                <w:szCs w:val="17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243B8F" w:rsidRDefault="004511E4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7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26.08.</w:t>
            </w:r>
            <w:r w:rsid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>2021</w:t>
            </w:r>
            <w:r w:rsidR="008645A8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 xml:space="preserve"> </w:t>
            </w:r>
            <w:r w:rsidR="00FF5393" w:rsidRPr="00243B8F">
              <w:rPr>
                <w:rFonts w:asciiTheme="minorHAnsi" w:hAnsiTheme="minorHAnsi"/>
                <w:b/>
                <w:i/>
                <w:sz w:val="18"/>
                <w:szCs w:val="17"/>
                <w:lang w:eastAsia="ru-RU"/>
              </w:rPr>
              <w:t xml:space="preserve"> г.</w:t>
            </w:r>
          </w:p>
        </w:tc>
      </w:tr>
      <w:tr w:rsidR="000E0A39" w:rsidRPr="00243B8F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243B8F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7"/>
              </w:rPr>
            </w:pPr>
            <w:r w:rsidRPr="00243B8F">
              <w:rPr>
                <w:rFonts w:asciiTheme="minorHAnsi" w:hAnsiTheme="minorHAnsi"/>
                <w:sz w:val="18"/>
                <w:szCs w:val="17"/>
              </w:rPr>
              <w:t>2. Содержание сообщения</w:t>
            </w:r>
          </w:p>
        </w:tc>
      </w:tr>
      <w:tr w:rsidR="000E0A39" w:rsidRPr="00243B8F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7" w:rsidRPr="00243B8F" w:rsidRDefault="000E0A39" w:rsidP="00167E8F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sz w:val="18"/>
                <w:szCs w:val="17"/>
              </w:rPr>
              <w:t xml:space="preserve">2.1. </w:t>
            </w:r>
            <w:r w:rsidR="00B27D15" w:rsidRPr="00243B8F">
              <w:rPr>
                <w:rFonts w:asciiTheme="minorHAnsi" w:eastAsiaTheme="minorHAnsi" w:hAnsiTheme="minorHAnsi"/>
                <w:sz w:val="18"/>
                <w:szCs w:val="17"/>
              </w:rPr>
              <w:t xml:space="preserve">Вид организации, которая совершила существенную сделку (эмитент; лицо, предоставившее обеспечение по облигациям эмитента): </w:t>
            </w:r>
            <w:r w:rsidR="00B27D15" w:rsidRPr="00243B8F">
              <w:rPr>
                <w:rFonts w:asciiTheme="minorHAnsi" w:eastAsiaTheme="minorHAnsi" w:hAnsiTheme="minorHAnsi"/>
                <w:b/>
                <w:i/>
                <w:sz w:val="18"/>
                <w:szCs w:val="17"/>
              </w:rPr>
              <w:t>Эмитент</w:t>
            </w:r>
          </w:p>
          <w:p w:rsidR="00B27D15" w:rsidRPr="00243B8F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sz w:val="18"/>
                <w:szCs w:val="17"/>
              </w:rPr>
              <w:t>2.2.</w:t>
            </w:r>
            <w:r w:rsidRPr="00243B8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 xml:space="preserve"> </w:t>
            </w: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В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организации: </w:t>
            </w:r>
            <w:r w:rsidRPr="00243B8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>не применимо</w:t>
            </w:r>
            <w:r w:rsidR="00B8040B" w:rsidRPr="00243B8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>.</w:t>
            </w:r>
          </w:p>
          <w:p w:rsidR="004F7840" w:rsidRPr="00243B8F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2.3. Категория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заинтересованность): </w:t>
            </w:r>
            <w:r w:rsidR="000439E8" w:rsidRPr="00243B8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>существенная сделка, не являющаяся крупной; сделка, в совершении которой имелась заинтересованность.</w:t>
            </w:r>
          </w:p>
          <w:p w:rsidR="000A092D" w:rsidRPr="00243B8F" w:rsidRDefault="00B27D15" w:rsidP="00E000BB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2.4. Вид и предмет сделки: </w:t>
            </w:r>
            <w:r w:rsidR="00451B99" w:rsidRPr="00451B99">
              <w:rPr>
                <w:rFonts w:asciiTheme="minorHAnsi" w:hAnsiTheme="minorHAnsi"/>
                <w:b/>
                <w:i/>
                <w:sz w:val="18"/>
                <w:szCs w:val="17"/>
              </w:rPr>
              <w:t>договор займа (далее – «Договор»). По Договору Займодавец принимает на себя обязательство предоставить Заемщику денежные средства (далее по тексту – «Заем») в размере 250 000 000,00 (Двести пятьдесят миллионов) рублей 00 копеек на условиях срочности и возвратности, а Заемщик обязуется возвратить Заем, уплатить проценты за пользование Займом и использовать Заем в порядке и на условиях, предусмотренных Договором.</w:t>
            </w:r>
          </w:p>
          <w:p w:rsidR="00451B99" w:rsidRPr="00451B99" w:rsidRDefault="00B27D15" w:rsidP="00451B99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="Calibri" w:hAnsi="Calibri"/>
                <w:b/>
                <w:i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сделка:</w:t>
            </w:r>
            <w:r w:rsidR="008645A8" w:rsidRPr="00243B8F">
              <w:rPr>
                <w:rFonts w:ascii="Calibri" w:hAnsi="Calibri"/>
                <w:b/>
                <w:i/>
                <w:sz w:val="18"/>
                <w:szCs w:val="17"/>
              </w:rPr>
              <w:t xml:space="preserve"> </w:t>
            </w:r>
            <w:r w:rsidR="00451B99" w:rsidRPr="00451B99">
              <w:rPr>
                <w:rFonts w:ascii="Calibri" w:hAnsi="Calibri"/>
                <w:b/>
                <w:i/>
                <w:sz w:val="18"/>
                <w:szCs w:val="17"/>
              </w:rPr>
              <w:t>Займодавец передает Заемщику Сумму займа поэтапно частями (траншами) в течение Срока выборки займа путем перечисления денежных средств на указанный Заемщиком расчетный банковский счет.</w:t>
            </w:r>
          </w:p>
          <w:p w:rsidR="00451B99" w:rsidRDefault="00451B99" w:rsidP="00451B99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="Calibri" w:hAnsi="Calibri"/>
                <w:b/>
                <w:i/>
                <w:sz w:val="18"/>
                <w:szCs w:val="17"/>
              </w:rPr>
            </w:pPr>
            <w:r w:rsidRPr="00451B99">
              <w:rPr>
                <w:rFonts w:ascii="Calibri" w:hAnsi="Calibri"/>
                <w:b/>
                <w:i/>
                <w:sz w:val="18"/>
                <w:szCs w:val="17"/>
              </w:rPr>
              <w:t>Проценты, начисляемые на сумму займа: 7,5% (Семь целых пять десятых) процентов годовых.</w:t>
            </w:r>
          </w:p>
          <w:p w:rsidR="00A85D73" w:rsidRPr="00243B8F" w:rsidRDefault="00B27D15" w:rsidP="00451B99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 </w:t>
            </w:r>
          </w:p>
          <w:p w:rsidR="00800920" w:rsidRDefault="00800920" w:rsidP="00800920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</w:pPr>
            <w:r w:rsidRPr="00396246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Срок выборки займа определен сторонами с даты подписания Договора по 31 декабря 202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1</w:t>
            </w:r>
            <w:r w:rsidRPr="00396246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года включительно.</w:t>
            </w:r>
          </w:p>
          <w:p w:rsidR="00B4072B" w:rsidRPr="00B4072B" w:rsidRDefault="00B4072B" w:rsidP="00B4072B">
            <w:pPr>
              <w:tabs>
                <w:tab w:val="left" w:pos="1140"/>
              </w:tabs>
              <w:spacing w:line="276" w:lineRule="auto"/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</w:pPr>
            <w:r w:rsidRPr="00B4072B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Срок возврата займа определен сторонами с даты подписания Договора по 31 декабря 2022 года включительно.</w:t>
            </w:r>
          </w:p>
          <w:p w:rsidR="00800920" w:rsidRPr="008A4058" w:rsidRDefault="00800920" w:rsidP="00800920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</w:pPr>
            <w:r w:rsidRPr="008A4058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Договор вступает в силу с даты его подписания и действует до полного исполнения Сторонами своих обязательств.</w:t>
            </w:r>
          </w:p>
          <w:p w:rsidR="00800920" w:rsidRDefault="00800920" w:rsidP="00800920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</w:pPr>
            <w:r w:rsidRPr="008A4058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Стороны сделки: Акционерное общество «Золото </w:t>
            </w:r>
            <w:proofErr w:type="spellStart"/>
            <w:r w:rsidRPr="008A4058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Селигдара</w:t>
            </w:r>
            <w:proofErr w:type="spellEnd"/>
            <w:r w:rsidRPr="008A4058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» - «Займодавец», Публичное акционерное общество «</w:t>
            </w:r>
            <w:proofErr w:type="spellStart"/>
            <w:r w:rsidRPr="008A4058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Русолово</w:t>
            </w:r>
            <w:proofErr w:type="spellEnd"/>
            <w:r w:rsidRPr="008A4058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» - «Заемщик»; Выгодоприобретатель - нет.</w:t>
            </w:r>
          </w:p>
          <w:p w:rsidR="00172B49" w:rsidRPr="00172B49" w:rsidRDefault="00172B49" w:rsidP="00800920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</w:pPr>
            <w:r w:rsidRPr="00172B49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Размер сделки (сумма займа с учетом процентов по займу) с учетом взаимосвязанности с договором займа </w:t>
            </w:r>
            <w:r w:rsidR="00833B7B" w:rsidRPr="00833B7B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№ 800 от 15.10.2020 г., </w:t>
            </w:r>
            <w:r w:rsidRPr="00833B7B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договором займа </w:t>
            </w:r>
            <w:r w:rsidR="00833B7B" w:rsidRPr="00833B7B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ДС № 1 от 18.12.2020 г. и </w:t>
            </w:r>
            <w:r w:rsidR="00833B7B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договором займа </w:t>
            </w:r>
            <w:bookmarkStart w:id="0" w:name="_GoBack"/>
            <w:bookmarkEnd w:id="0"/>
            <w:r w:rsidR="00833B7B" w:rsidRPr="00833B7B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№ ДЗ-64 от 30.03.2021 г.</w:t>
            </w:r>
            <w:r w:rsidRPr="00833B7B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: </w:t>
            </w:r>
            <w:r w:rsidRPr="00172B49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1 690 980 602,74 (Один миллиард шестьсот девяносто миллионов девятьсот восемьдесят ты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сяч шестьсот два) рубля 74 коп.</w:t>
            </w:r>
            <w:r w:rsidRPr="00172B49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, что составляет </w:t>
            </w:r>
            <w:r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21,</w:t>
            </w:r>
            <w:r w:rsidRPr="00172B49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2% от стоимости активов Эмитента на последнюю отчетную дату.</w:t>
            </w:r>
          </w:p>
          <w:p w:rsidR="00451B99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="Calibri" w:hAnsi="Calibri"/>
                <w:b/>
                <w:i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2.7. Стоимость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договора): </w:t>
            </w:r>
            <w:r w:rsidR="00451B99" w:rsidRPr="00451B99">
              <w:rPr>
                <w:rFonts w:ascii="Calibri" w:hAnsi="Calibri"/>
                <w:b/>
                <w:i/>
                <w:sz w:val="18"/>
                <w:szCs w:val="17"/>
              </w:rPr>
              <w:t>по состоянию на 30.06.2021 г. стоимость активов ПАО «</w:t>
            </w:r>
            <w:proofErr w:type="spellStart"/>
            <w:r w:rsidR="00451B99" w:rsidRPr="00451B99">
              <w:rPr>
                <w:rFonts w:ascii="Calibri" w:hAnsi="Calibri"/>
                <w:b/>
                <w:i/>
                <w:sz w:val="18"/>
                <w:szCs w:val="17"/>
              </w:rPr>
              <w:t>Русолово</w:t>
            </w:r>
            <w:proofErr w:type="spellEnd"/>
            <w:r w:rsidR="00451B99" w:rsidRPr="00451B99">
              <w:rPr>
                <w:rFonts w:ascii="Calibri" w:hAnsi="Calibri"/>
                <w:b/>
                <w:i/>
                <w:sz w:val="18"/>
                <w:szCs w:val="17"/>
              </w:rPr>
              <w:t>» составляет 7 977 642 000 руб.</w:t>
            </w:r>
          </w:p>
          <w:p w:rsidR="00B27D15" w:rsidRPr="00243B8F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2.8. Дата совершения сделки (заключения договора): </w:t>
            </w:r>
            <w:r w:rsidR="00451B99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>26.08</w:t>
            </w:r>
            <w:r w:rsidR="008C602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>.2021</w:t>
            </w:r>
            <w:r w:rsidRPr="00243B8F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7"/>
              </w:rPr>
              <w:t xml:space="preserve"> г.</w:t>
            </w:r>
          </w:p>
          <w:p w:rsidR="00B27D15" w:rsidRPr="00243B8F" w:rsidRDefault="00B27D15" w:rsidP="008C602F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</w:pPr>
            <w:r w:rsidRPr="00243B8F">
              <w:rPr>
                <w:rFonts w:asciiTheme="minorHAnsi" w:eastAsiaTheme="minorHAnsi" w:hAnsiTheme="minorHAnsi"/>
                <w:bCs/>
                <w:iCs/>
                <w:sz w:val="18"/>
                <w:szCs w:val="17"/>
              </w:rPr>
              <w:t xml:space="preserve">2.9. 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принималось: </w:t>
            </w:r>
            <w:r w:rsidR="008645A8" w:rsidRPr="00243B8F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 xml:space="preserve"> </w:t>
            </w:r>
            <w:r w:rsidR="00451B99" w:rsidRPr="00451B99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Решение Общего собрания  акционеров ПАО «</w:t>
            </w:r>
            <w:proofErr w:type="spellStart"/>
            <w:r w:rsidR="00451B99" w:rsidRPr="00451B99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Русолово</w:t>
            </w:r>
            <w:proofErr w:type="spellEnd"/>
            <w:r w:rsidR="00451B99" w:rsidRPr="00451B99">
              <w:rPr>
                <w:rFonts w:ascii="Calibri" w:hAnsi="Calibri"/>
                <w:b/>
                <w:bCs/>
                <w:i/>
                <w:iCs/>
                <w:sz w:val="18"/>
                <w:szCs w:val="17"/>
              </w:rPr>
              <w:t>» 25.06.2021 г., протокол №01/21-ОСА от 28.06.2021 г.;  Решение Правления 26.08.2021 г., протокол №52 от 26.08.2021 г.</w:t>
            </w:r>
          </w:p>
        </w:tc>
      </w:tr>
      <w:tr w:rsidR="000E0A39" w:rsidRPr="00243B8F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243B8F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8"/>
                <w:szCs w:val="17"/>
              </w:rPr>
            </w:pPr>
            <w:r w:rsidRPr="00243B8F">
              <w:rPr>
                <w:rFonts w:asciiTheme="minorHAnsi" w:hAnsiTheme="minorHAnsi"/>
                <w:sz w:val="18"/>
                <w:szCs w:val="17"/>
              </w:rPr>
              <w:t>3. Подпись</w:t>
            </w:r>
          </w:p>
        </w:tc>
      </w:tr>
      <w:tr w:rsidR="000E0A39" w:rsidRPr="00243B8F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243B8F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7"/>
              </w:rPr>
            </w:pPr>
            <w:r w:rsidRPr="00243B8F">
              <w:rPr>
                <w:rFonts w:asciiTheme="minorHAnsi" w:hAnsiTheme="minorHAnsi"/>
                <w:sz w:val="18"/>
                <w:szCs w:val="17"/>
              </w:rPr>
              <w:t>3.1. Генеральный директор</w:t>
            </w:r>
          </w:p>
          <w:p w:rsidR="000E0A39" w:rsidRPr="00243B8F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7"/>
              </w:rPr>
            </w:pPr>
            <w:r w:rsidRPr="00243B8F">
              <w:rPr>
                <w:rFonts w:asciiTheme="minorHAnsi" w:hAnsiTheme="minorHAnsi"/>
                <w:sz w:val="18"/>
                <w:szCs w:val="17"/>
              </w:rPr>
              <w:t>П</w:t>
            </w:r>
            <w:r w:rsidR="000E0A39" w:rsidRPr="00243B8F">
              <w:rPr>
                <w:rFonts w:asciiTheme="minorHAnsi" w:hAnsiTheme="minorHAnsi"/>
                <w:sz w:val="18"/>
                <w:szCs w:val="17"/>
              </w:rPr>
              <w:t>АО «</w:t>
            </w:r>
            <w:proofErr w:type="spellStart"/>
            <w:proofErr w:type="gramStart"/>
            <w:r w:rsidR="000E0A39" w:rsidRPr="00243B8F">
              <w:rPr>
                <w:rFonts w:asciiTheme="minorHAnsi" w:hAnsiTheme="minorHAnsi"/>
                <w:sz w:val="18"/>
                <w:szCs w:val="17"/>
              </w:rPr>
              <w:t>Русолово</w:t>
            </w:r>
            <w:proofErr w:type="spellEnd"/>
            <w:r w:rsidR="000E0A39" w:rsidRPr="00243B8F">
              <w:rPr>
                <w:rFonts w:asciiTheme="minorHAnsi" w:hAnsiTheme="minorHAnsi"/>
                <w:sz w:val="18"/>
                <w:szCs w:val="17"/>
              </w:rPr>
              <w:t xml:space="preserve">»   </w:t>
            </w:r>
            <w:proofErr w:type="gramEnd"/>
            <w:r w:rsidR="000E0A39" w:rsidRPr="00243B8F">
              <w:rPr>
                <w:rFonts w:asciiTheme="minorHAnsi" w:hAnsiTheme="minorHAnsi"/>
                <w:sz w:val="18"/>
                <w:szCs w:val="17"/>
              </w:rPr>
              <w:t xml:space="preserve">                                            </w:t>
            </w:r>
            <w:r w:rsidR="00FF5393" w:rsidRPr="00243B8F">
              <w:rPr>
                <w:rFonts w:asciiTheme="minorHAnsi" w:hAnsiTheme="minorHAnsi"/>
                <w:sz w:val="18"/>
                <w:szCs w:val="17"/>
              </w:rPr>
              <w:t xml:space="preserve">     </w:t>
            </w:r>
            <w:r w:rsidR="000E0A39" w:rsidRPr="00243B8F">
              <w:rPr>
                <w:rFonts w:asciiTheme="minorHAnsi" w:hAnsiTheme="minorHAnsi"/>
                <w:sz w:val="18"/>
                <w:szCs w:val="17"/>
              </w:rPr>
              <w:t xml:space="preserve"> </w:t>
            </w:r>
            <w:r w:rsidR="00177CC3" w:rsidRPr="00243B8F">
              <w:rPr>
                <w:rFonts w:asciiTheme="minorHAnsi" w:hAnsiTheme="minorHAnsi"/>
                <w:sz w:val="18"/>
                <w:szCs w:val="17"/>
              </w:rPr>
              <w:t xml:space="preserve">_______________  </w:t>
            </w:r>
            <w:r w:rsidR="000E0A39" w:rsidRPr="00243B8F">
              <w:rPr>
                <w:rFonts w:asciiTheme="minorHAnsi" w:hAnsiTheme="minorHAnsi"/>
                <w:sz w:val="18"/>
                <w:szCs w:val="17"/>
              </w:rPr>
              <w:t xml:space="preserve"> </w:t>
            </w:r>
            <w:r w:rsidR="00FF5393" w:rsidRPr="00243B8F">
              <w:rPr>
                <w:rFonts w:asciiTheme="minorHAnsi" w:hAnsiTheme="minorHAnsi"/>
                <w:sz w:val="18"/>
                <w:szCs w:val="17"/>
              </w:rPr>
              <w:t xml:space="preserve"> </w:t>
            </w:r>
            <w:r w:rsidR="00D23E9C" w:rsidRPr="00243B8F">
              <w:rPr>
                <w:rFonts w:asciiTheme="minorHAnsi" w:hAnsiTheme="minorHAnsi"/>
                <w:sz w:val="18"/>
                <w:szCs w:val="17"/>
              </w:rPr>
              <w:t>Колесов Е.А.</w:t>
            </w:r>
          </w:p>
          <w:p w:rsidR="000E0A39" w:rsidRPr="00243B8F" w:rsidRDefault="000E0A39" w:rsidP="00451B99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7"/>
              </w:rPr>
            </w:pPr>
            <w:r w:rsidRPr="00243B8F">
              <w:rPr>
                <w:rFonts w:asciiTheme="minorHAnsi" w:hAnsiTheme="minorHAnsi"/>
                <w:sz w:val="18"/>
                <w:szCs w:val="17"/>
              </w:rPr>
              <w:t>3.2. «</w:t>
            </w:r>
            <w:r w:rsidR="00080FC0">
              <w:rPr>
                <w:rFonts w:asciiTheme="minorHAnsi" w:hAnsiTheme="minorHAnsi"/>
                <w:sz w:val="18"/>
                <w:szCs w:val="17"/>
              </w:rPr>
              <w:t>27</w:t>
            </w:r>
            <w:r w:rsidRPr="00243B8F">
              <w:rPr>
                <w:rFonts w:asciiTheme="minorHAnsi" w:hAnsiTheme="minorHAnsi"/>
                <w:sz w:val="18"/>
                <w:szCs w:val="17"/>
              </w:rPr>
              <w:t>»</w:t>
            </w:r>
            <w:r w:rsidR="00B969C2" w:rsidRPr="00243B8F">
              <w:rPr>
                <w:rFonts w:asciiTheme="minorHAnsi" w:hAnsiTheme="minorHAnsi"/>
                <w:sz w:val="18"/>
                <w:szCs w:val="17"/>
              </w:rPr>
              <w:t xml:space="preserve"> </w:t>
            </w:r>
            <w:r w:rsidR="00451B99">
              <w:rPr>
                <w:rFonts w:asciiTheme="minorHAnsi" w:hAnsiTheme="minorHAnsi"/>
                <w:sz w:val="18"/>
                <w:szCs w:val="17"/>
              </w:rPr>
              <w:t>августа</w:t>
            </w:r>
            <w:r w:rsidR="000B6912" w:rsidRPr="00243B8F">
              <w:rPr>
                <w:rFonts w:asciiTheme="minorHAnsi" w:hAnsiTheme="minorHAnsi"/>
                <w:sz w:val="18"/>
                <w:szCs w:val="17"/>
              </w:rPr>
              <w:t xml:space="preserve"> </w:t>
            </w:r>
            <w:r w:rsidR="008C602F">
              <w:rPr>
                <w:rFonts w:asciiTheme="minorHAnsi" w:hAnsiTheme="minorHAnsi"/>
                <w:sz w:val="18"/>
                <w:szCs w:val="17"/>
              </w:rPr>
              <w:t>2021</w:t>
            </w:r>
            <w:r w:rsidR="00912E53" w:rsidRPr="00243B8F">
              <w:rPr>
                <w:rFonts w:asciiTheme="minorHAnsi" w:hAnsiTheme="minorHAnsi"/>
                <w:sz w:val="18"/>
                <w:szCs w:val="17"/>
              </w:rPr>
              <w:t xml:space="preserve"> года</w:t>
            </w:r>
            <w:r w:rsidRPr="00243B8F">
              <w:rPr>
                <w:rFonts w:asciiTheme="minorHAnsi" w:hAnsiTheme="minorHAnsi"/>
                <w:sz w:val="18"/>
                <w:szCs w:val="17"/>
              </w:rPr>
              <w:t xml:space="preserve">                               </w:t>
            </w:r>
            <w:r w:rsidR="00177CC3" w:rsidRPr="00243B8F">
              <w:rPr>
                <w:rFonts w:asciiTheme="minorHAnsi" w:hAnsiTheme="minorHAnsi"/>
                <w:sz w:val="18"/>
                <w:szCs w:val="17"/>
              </w:rPr>
              <w:t xml:space="preserve">            </w:t>
            </w:r>
            <w:r w:rsidR="00ED61FD" w:rsidRPr="00243B8F">
              <w:rPr>
                <w:rFonts w:asciiTheme="minorHAnsi" w:hAnsiTheme="minorHAnsi"/>
                <w:sz w:val="18"/>
                <w:szCs w:val="17"/>
              </w:rPr>
              <w:t xml:space="preserve">  </w:t>
            </w:r>
            <w:r w:rsidRPr="00243B8F">
              <w:rPr>
                <w:rFonts w:asciiTheme="minorHAnsi" w:hAnsiTheme="minorHAnsi"/>
                <w:sz w:val="18"/>
                <w:szCs w:val="17"/>
              </w:rPr>
              <w:t xml:space="preserve"> М.П.</w:t>
            </w:r>
          </w:p>
        </w:tc>
      </w:tr>
    </w:tbl>
    <w:p w:rsidR="00375216" w:rsidRPr="00243B8F" w:rsidRDefault="00375216" w:rsidP="00E4265F">
      <w:pPr>
        <w:rPr>
          <w:rFonts w:asciiTheme="minorHAnsi" w:hAnsiTheme="minorHAnsi"/>
          <w:sz w:val="18"/>
          <w:szCs w:val="17"/>
        </w:rPr>
      </w:pPr>
    </w:p>
    <w:sectPr w:rsidR="00375216" w:rsidRPr="0024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1781"/>
    <w:rsid w:val="000042B4"/>
    <w:rsid w:val="00014356"/>
    <w:rsid w:val="000363BE"/>
    <w:rsid w:val="000439E8"/>
    <w:rsid w:val="00054D17"/>
    <w:rsid w:val="00054EBA"/>
    <w:rsid w:val="00076A4D"/>
    <w:rsid w:val="00080FC0"/>
    <w:rsid w:val="000A092D"/>
    <w:rsid w:val="000B2828"/>
    <w:rsid w:val="000B6912"/>
    <w:rsid w:val="000B7646"/>
    <w:rsid w:val="000E0A39"/>
    <w:rsid w:val="00117681"/>
    <w:rsid w:val="00150D75"/>
    <w:rsid w:val="00167E8F"/>
    <w:rsid w:val="00172B49"/>
    <w:rsid w:val="00177CC3"/>
    <w:rsid w:val="001D17CF"/>
    <w:rsid w:val="0023191C"/>
    <w:rsid w:val="0023488E"/>
    <w:rsid w:val="00243B8F"/>
    <w:rsid w:val="00295ED5"/>
    <w:rsid w:val="002B00C5"/>
    <w:rsid w:val="00337BFD"/>
    <w:rsid w:val="00375216"/>
    <w:rsid w:val="003A533D"/>
    <w:rsid w:val="003A79A0"/>
    <w:rsid w:val="003E6356"/>
    <w:rsid w:val="003F2F24"/>
    <w:rsid w:val="0044379E"/>
    <w:rsid w:val="004511E4"/>
    <w:rsid w:val="00451B99"/>
    <w:rsid w:val="0045285A"/>
    <w:rsid w:val="004657B0"/>
    <w:rsid w:val="00471275"/>
    <w:rsid w:val="004E3FC1"/>
    <w:rsid w:val="004E7B3A"/>
    <w:rsid w:val="004F7840"/>
    <w:rsid w:val="00511A0D"/>
    <w:rsid w:val="00530937"/>
    <w:rsid w:val="005348EC"/>
    <w:rsid w:val="00591AD1"/>
    <w:rsid w:val="005B2340"/>
    <w:rsid w:val="005B2A6E"/>
    <w:rsid w:val="006128B7"/>
    <w:rsid w:val="0061343A"/>
    <w:rsid w:val="00645838"/>
    <w:rsid w:val="00691902"/>
    <w:rsid w:val="006A7D7C"/>
    <w:rsid w:val="006D520F"/>
    <w:rsid w:val="006D5DC4"/>
    <w:rsid w:val="006F4093"/>
    <w:rsid w:val="007103FA"/>
    <w:rsid w:val="00742A49"/>
    <w:rsid w:val="00766300"/>
    <w:rsid w:val="00772AD5"/>
    <w:rsid w:val="0077337B"/>
    <w:rsid w:val="007A5D42"/>
    <w:rsid w:val="00800920"/>
    <w:rsid w:val="00821F25"/>
    <w:rsid w:val="00833B7B"/>
    <w:rsid w:val="008645A8"/>
    <w:rsid w:val="00881AAD"/>
    <w:rsid w:val="008C37FA"/>
    <w:rsid w:val="008C602F"/>
    <w:rsid w:val="008E608F"/>
    <w:rsid w:val="008F2341"/>
    <w:rsid w:val="00912E53"/>
    <w:rsid w:val="00975E7A"/>
    <w:rsid w:val="009A5F89"/>
    <w:rsid w:val="009C05D7"/>
    <w:rsid w:val="009D26E5"/>
    <w:rsid w:val="009F1170"/>
    <w:rsid w:val="00A063E0"/>
    <w:rsid w:val="00A44D37"/>
    <w:rsid w:val="00A45052"/>
    <w:rsid w:val="00A45280"/>
    <w:rsid w:val="00A539DF"/>
    <w:rsid w:val="00A65172"/>
    <w:rsid w:val="00A705F8"/>
    <w:rsid w:val="00A85D73"/>
    <w:rsid w:val="00A87DDC"/>
    <w:rsid w:val="00AB0A2F"/>
    <w:rsid w:val="00AC5522"/>
    <w:rsid w:val="00AE4ABF"/>
    <w:rsid w:val="00B204BF"/>
    <w:rsid w:val="00B27D15"/>
    <w:rsid w:val="00B4072B"/>
    <w:rsid w:val="00B45252"/>
    <w:rsid w:val="00B61C98"/>
    <w:rsid w:val="00B8040B"/>
    <w:rsid w:val="00B82780"/>
    <w:rsid w:val="00B969C2"/>
    <w:rsid w:val="00BA5157"/>
    <w:rsid w:val="00BB0983"/>
    <w:rsid w:val="00BC1366"/>
    <w:rsid w:val="00BD6892"/>
    <w:rsid w:val="00C169C9"/>
    <w:rsid w:val="00C81677"/>
    <w:rsid w:val="00CC1DAC"/>
    <w:rsid w:val="00CC39CC"/>
    <w:rsid w:val="00CD3145"/>
    <w:rsid w:val="00CE655B"/>
    <w:rsid w:val="00D02AC0"/>
    <w:rsid w:val="00D061AF"/>
    <w:rsid w:val="00D1637B"/>
    <w:rsid w:val="00D23E9C"/>
    <w:rsid w:val="00D422F2"/>
    <w:rsid w:val="00D72817"/>
    <w:rsid w:val="00DF1292"/>
    <w:rsid w:val="00DF5358"/>
    <w:rsid w:val="00E000BB"/>
    <w:rsid w:val="00E25E37"/>
    <w:rsid w:val="00E4265F"/>
    <w:rsid w:val="00E4758F"/>
    <w:rsid w:val="00E66624"/>
    <w:rsid w:val="00E838F6"/>
    <w:rsid w:val="00EB7D88"/>
    <w:rsid w:val="00ED61FD"/>
    <w:rsid w:val="00F02183"/>
    <w:rsid w:val="00F154B2"/>
    <w:rsid w:val="00F36AAC"/>
    <w:rsid w:val="00F801A9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B454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4E3F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FC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F801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01A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6A7D7C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6A7D7C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11</cp:revision>
  <cp:lastPrinted>2021-08-27T06:01:00Z</cp:lastPrinted>
  <dcterms:created xsi:type="dcterms:W3CDTF">2021-03-30T11:55:00Z</dcterms:created>
  <dcterms:modified xsi:type="dcterms:W3CDTF">2021-08-27T07:20:00Z</dcterms:modified>
</cp:coreProperties>
</file>